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3A3E" w14:textId="77777777" w:rsidR="00545113" w:rsidRPr="009510E3" w:rsidRDefault="00545113" w:rsidP="00545113">
      <w:pPr>
        <w:jc w:val="center"/>
        <w:rPr>
          <w:rFonts w:ascii="Arial" w:hAnsi="Arial" w:cs="Arial"/>
          <w:b/>
          <w:bCs/>
        </w:rPr>
      </w:pPr>
      <w:bookmarkStart w:id="0" w:name="OLE_LINK1"/>
      <w:r w:rsidRPr="009510E3">
        <w:rPr>
          <w:rFonts w:ascii="Arial" w:hAnsi="Arial" w:cs="Arial"/>
          <w:b/>
          <w:bCs/>
        </w:rPr>
        <w:t>Reunião Ordinária do Comitê de Investimentos.</w:t>
      </w:r>
    </w:p>
    <w:p w14:paraId="3FE04394" w14:textId="129486FF" w:rsidR="009510E3" w:rsidRPr="0088268B" w:rsidRDefault="009510E3" w:rsidP="009510E3">
      <w:pPr>
        <w:spacing w:after="160" w:line="259" w:lineRule="auto"/>
        <w:jc w:val="both"/>
        <w:rPr>
          <w:rFonts w:ascii="Arial" w:hAnsi="Arial" w:cs="Arial"/>
        </w:rPr>
      </w:pPr>
      <w:r w:rsidRPr="0088268B">
        <w:rPr>
          <w:rFonts w:ascii="Arial" w:hAnsi="Arial" w:cs="Arial"/>
        </w:rPr>
        <w:t>Aos quinze</w:t>
      </w:r>
      <w:r w:rsidRPr="009510E3">
        <w:rPr>
          <w:rFonts w:ascii="Arial" w:hAnsi="Arial" w:cs="Arial"/>
        </w:rPr>
        <w:t xml:space="preserve"> (15)</w:t>
      </w:r>
      <w:r w:rsidRPr="0088268B">
        <w:rPr>
          <w:rFonts w:ascii="Arial" w:hAnsi="Arial" w:cs="Arial"/>
        </w:rPr>
        <w:t xml:space="preserve"> dias do mês de outubro de dois mil e vinte e cinco, às treze </w:t>
      </w:r>
      <w:r w:rsidRPr="009510E3">
        <w:rPr>
          <w:rFonts w:ascii="Arial" w:hAnsi="Arial" w:cs="Arial"/>
        </w:rPr>
        <w:t xml:space="preserve">(13) </w:t>
      </w:r>
      <w:r w:rsidRPr="0088268B">
        <w:rPr>
          <w:rFonts w:ascii="Arial" w:hAnsi="Arial" w:cs="Arial"/>
        </w:rPr>
        <w:t>horas, na sede do Instituto de Previdência dos Servidores Públicos do Município de Guanhães – GuanhãesPrev, situada na Rua Monsenhor Pinheiro, nº 101, Centro, Guanhães/MG, reuniu-se o Comitê de Investimentos com a presença de Cláudia Aparecida Monteiro dos Santos, Daniel Fernando da Silva, Francielle Elgita de Oliveira Costa (de forma remota), Humberto Salvador Ferreira Lopes e Rosimery Aparecida Inácio de Pinho Procópio, além de Rodolpho Malafaia, representante da Lema Assessoria de Investimentos, também de forma remota. Francielle abriu a reunião dando boas-vindas a todos e informou que a pauta seria o acompanhamento do cenário econômico nacional e internacional e a discussão sobre as alocações da carteira de investimentos, considerando as análises dos fundos discutidos e aprovados na reunião de 24 de setembro. Rosimery destacou que, conforme apontado no estudo de ALM, foi solicitado à Lema a análise sobre a possibilidade de manter o fundo de ações dividendos do Banco do Brasil em carteira, considerando seu baixo risco e potencial de valor agregado. Posteriormente, a consultoria recomendou zerar toda a renda variável, inclusive esse fundo, apresentando sugestões de realocação preservando as instituições financeiras. Após recebimento e verificação das análises e credenciamentos, as realocações foram concluídas. Foram resgatados os valores dos fundos Caixa Brasil Estratégia Livre e Caixa Brasil Ações Livre Quantitativo, aplicando-se no Caixa Referenciado DI, sendo parte utilizada para pagamento da folha de setembro de 2025. Também foi resgatado o valor do Itaú Smart Ações, aplicando-se no Itaú Referenciado DI, e o total do BB Dividendos, direcionado ao BB IRFM1. No caso do Itaú, havia sido sugerida a divisão entre IRFM1 e Referenciado DI, porém, por equívoco, todo o valor foi aplicado no Referenciado DI; após análise, o Comitê decidiu mantê-lo nesse fundo, considerando o alinhamento com o mercado. As operações foram executadas por Francielle, Rosimery e Márcia conforme o recebimento das análises. Foi esclarecido que os fundos IRFM1 têm comportamento semelhante entre as instituições, diferenciando-se apenas pelas taxas administrativas. Constatou-se que a carteira permanece bem enquadrada, distante dos limites legais e coerente com o perfil conservador. Discutiu-se o cenário econômico, marcado por inflação resistente e incertezas internacionais decorrentes da guerra comercial entre China e Estados Unidos, reforçando a manutenção de posições conservadoras em ativos atrelados ao CDI. Observou-se que o IRF-M1 oferece proteção frente a eventuais cortes de juros, embora falas recentes do Banco Central, especialmente do diretor Galípolo, indiquem preocupação com a inflação fora da meta, o que reduz as chances de afrouxamento monetário no curto prazo. A inflação de setembro subiu para 0,48%, acumulando 5,17% em doze meses, acima do teto da meta, o que reforça a política monetária contracionista. No cenário internacional, as tensões comerciais elevam a volatilidade dos mercados e impactam a bolsa brasileira, que apresentou entrada de capital estrangeiro em setembro e queda em outubro. Diante disso, reforçou-se a estratégia conservadora da carteira, com foco em renda fixa e baixa volatilidade, o que resultou em desempenho superior à meta atuarial, com destaque para os fundos IRFM1 e CDI. Ressaltou-se a importância de manter a estratégia de investimentos alinhada ao passivo e ao estudo de ALM, priorizando preservação patrimonial e liquidez. Verificou-se desempenho positivo da carteira, cerca de dois e meio pontos percentuais acima da meta atuarial, confirmando o acerto da estratégia. Em relação à letra financeira do Banco Daycoval, vencida em 10 de outubro de 2025, no valor de R$ 2.486.670</w:t>
      </w:r>
      <w:r w:rsidRPr="009510E3">
        <w:rPr>
          <w:rFonts w:ascii="Arial" w:hAnsi="Arial" w:cs="Arial"/>
        </w:rPr>
        <w:t>.</w:t>
      </w:r>
      <w:r w:rsidRPr="0088268B">
        <w:rPr>
          <w:rFonts w:ascii="Arial" w:hAnsi="Arial" w:cs="Arial"/>
        </w:rPr>
        <w:t xml:space="preserve">10, informou-se que o recurso está aplicado temporariamente no fundo disponibilidade da Caixa Federal, aguardando análise da consultoria financeira para realocação em fundo mais rentável. Rosimery informou que o Conselho solicitou propostas sobre a operacionalização do empréstimo consignado e pediu ao consultor financeiro análise sobre a viabilidade de implementação para aposentados e pensionistas do RPPS, considerando que o Município possui CAPAG C, o que impede a concessão para servidores ativos e beneficiários custeados pelo Tesouro Municipal. </w:t>
      </w:r>
      <w:r w:rsidRPr="0088268B">
        <w:rPr>
          <w:rFonts w:ascii="Arial" w:hAnsi="Arial" w:cs="Arial"/>
        </w:rPr>
        <w:lastRenderedPageBreak/>
        <w:t xml:space="preserve">Rodolpho destacou que, embora a modalidade conste como opção de investimento na Portaria nº 1467/2022, envolve riscos relevantes, especialmente operacionais e de liquidez, diante do déficit atuarial e financeiro do regime. Avaliaram-se a viabilidade financeira, os riscos e a compatibilidade com o estudo de ALM, ficando acordada a elaboração de relatórios financeiro, técnico e atuarial a serem apresentados ao Conselho Administrativo antes de qualquer decisão. Também foi mencionado que, em razão dos juros elevados e da ausência de experiências consolidadas em outros RPPS, a cautela deve prevalecer. Assim, decidiu-se solicitar à consultoria financeira análise técnica sobre o impacto do consignado na carteira, considerando o estudo de ALM e </w:t>
      </w:r>
      <w:r w:rsidRPr="009510E3">
        <w:rPr>
          <w:rFonts w:ascii="Arial" w:hAnsi="Arial" w:cs="Arial"/>
        </w:rPr>
        <w:t xml:space="preserve">também a análise técnica e </w:t>
      </w:r>
      <w:r w:rsidRPr="0088268B">
        <w:rPr>
          <w:rFonts w:ascii="Arial" w:hAnsi="Arial" w:cs="Arial"/>
        </w:rPr>
        <w:t>as orientações atuariais. Concluiu-se que, diante do cenário atual, a prioridade é a preservação do patrimônio do RPPS, mantendo investimentos alinhados ao passivo atuarial. Nada mais havendo a tratar, a reunião foi encerrada, ficando registrado que a letra financeira será realocada conforme orientação da consultoria. Francielle Elgita de Oliveira Costa, Presidente do Comitê de Investimentos, agradeceu a participação de todos. Eu, Rosimery Aparecida Inácio de Pinho Procópio,</w:t>
      </w:r>
      <w:r w:rsidRPr="009510E3">
        <w:rPr>
          <w:rFonts w:ascii="Arial" w:hAnsi="Arial" w:cs="Arial"/>
        </w:rPr>
        <w:t xml:space="preserve"> ___________________,</w:t>
      </w:r>
      <w:r w:rsidRPr="0088268B">
        <w:rPr>
          <w:rFonts w:ascii="Arial" w:hAnsi="Arial" w:cs="Arial"/>
        </w:rPr>
        <w:t xml:space="preserve"> Secretária do Comitê de Investimentos, lavrei a presente ata, que, lida e aprovada, será assinada por mim e pelos demais membros. Guanhães, 15 de outubro de 2025.</w:t>
      </w:r>
    </w:p>
    <w:p w14:paraId="0C237C6E" w14:textId="77777777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</w:p>
    <w:p w14:paraId="48693D62" w14:textId="77777777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</w:p>
    <w:p w14:paraId="0864C600" w14:textId="3991EF86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 xml:space="preserve">   Francielle Elgita de Oliveira Costa                    Rosimery Ap. Inácio de Pinho Procópio  </w:t>
      </w:r>
    </w:p>
    <w:p w14:paraId="1D0CA8F9" w14:textId="127E4510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>Presidente do Comitê/Gestor Recursos</w:t>
      </w:r>
      <w:r w:rsidRPr="009510E3">
        <w:rPr>
          <w:rFonts w:ascii="Arial" w:hAnsi="Arial" w:cs="Arial"/>
          <w:lang w:val="pt-BR"/>
        </w:rPr>
        <w:tab/>
        <w:t xml:space="preserve">                                  Secretária</w:t>
      </w:r>
    </w:p>
    <w:p w14:paraId="677DC4BA" w14:textId="2EC316CC" w:rsidR="00545113" w:rsidRPr="009510E3" w:rsidRDefault="00545113" w:rsidP="00A25EEA">
      <w:pPr>
        <w:pStyle w:val="SemEspaamento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 xml:space="preserve"> </w:t>
      </w:r>
    </w:p>
    <w:p w14:paraId="10440EFE" w14:textId="77777777" w:rsidR="00A25EEA" w:rsidRPr="009510E3" w:rsidRDefault="00A25EEA" w:rsidP="00A25EEA">
      <w:pPr>
        <w:pStyle w:val="SemEspaamento"/>
        <w:rPr>
          <w:rFonts w:ascii="Arial" w:hAnsi="Arial" w:cs="Arial"/>
          <w:lang w:val="pt-BR"/>
        </w:rPr>
      </w:pPr>
    </w:p>
    <w:p w14:paraId="5EF10742" w14:textId="77777777" w:rsidR="00545113" w:rsidRPr="009510E3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 xml:space="preserve"> </w:t>
      </w:r>
    </w:p>
    <w:p w14:paraId="5FB05A33" w14:textId="4A14CADD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>Cláudia Ap</w:t>
      </w:r>
      <w:r w:rsidR="0057268E" w:rsidRPr="009510E3">
        <w:rPr>
          <w:rFonts w:ascii="Arial" w:hAnsi="Arial" w:cs="Arial"/>
          <w:lang w:val="pt-BR"/>
        </w:rPr>
        <w:t>.</w:t>
      </w:r>
      <w:r w:rsidRPr="009510E3">
        <w:rPr>
          <w:rFonts w:ascii="Arial" w:hAnsi="Arial" w:cs="Arial"/>
          <w:lang w:val="pt-BR"/>
        </w:rPr>
        <w:t xml:space="preserve"> Monteiro dos Santos                                      Daniel Fernando da Silva</w:t>
      </w:r>
    </w:p>
    <w:p w14:paraId="0B812D99" w14:textId="0E20F26A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 xml:space="preserve">                  Membro                                                                           </w:t>
      </w:r>
      <w:proofErr w:type="spellStart"/>
      <w:r w:rsidRPr="009510E3">
        <w:rPr>
          <w:rFonts w:ascii="Arial" w:hAnsi="Arial" w:cs="Arial"/>
          <w:lang w:val="pt-BR"/>
        </w:rPr>
        <w:t>Membro</w:t>
      </w:r>
      <w:proofErr w:type="spellEnd"/>
    </w:p>
    <w:p w14:paraId="75BEFC9A" w14:textId="77777777" w:rsidR="00545113" w:rsidRPr="009510E3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</w:p>
    <w:p w14:paraId="48EF05EF" w14:textId="77777777" w:rsidR="00545113" w:rsidRPr="009510E3" w:rsidRDefault="00545113" w:rsidP="00545113">
      <w:pPr>
        <w:pStyle w:val="SemEspaamento"/>
        <w:rPr>
          <w:rFonts w:ascii="Arial" w:hAnsi="Arial" w:cs="Arial"/>
          <w:lang w:val="pt-BR"/>
        </w:rPr>
      </w:pPr>
    </w:p>
    <w:p w14:paraId="14C37CCA" w14:textId="77777777" w:rsidR="00545113" w:rsidRPr="009510E3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  <w:r w:rsidRPr="009510E3">
        <w:rPr>
          <w:rFonts w:ascii="Arial" w:hAnsi="Arial" w:cs="Arial"/>
          <w:lang w:val="pt-BR"/>
        </w:rPr>
        <w:t>Humberto Salvador Ferreira Lopes</w:t>
      </w:r>
    </w:p>
    <w:p w14:paraId="1AB0407D" w14:textId="5DFD6BC9" w:rsidR="00330475" w:rsidRPr="009510E3" w:rsidRDefault="00545113" w:rsidP="00C6427D">
      <w:pPr>
        <w:pStyle w:val="SemEspaamento"/>
        <w:jc w:val="center"/>
        <w:rPr>
          <w:rFonts w:ascii="Arial" w:hAnsi="Arial" w:cs="Arial"/>
        </w:rPr>
      </w:pPr>
      <w:r w:rsidRPr="009510E3">
        <w:rPr>
          <w:rFonts w:ascii="Arial" w:hAnsi="Arial" w:cs="Arial"/>
          <w:lang w:val="pt-BR"/>
        </w:rPr>
        <w:t>Membro</w:t>
      </w:r>
      <w:r w:rsidR="000D53E0" w:rsidRPr="009510E3">
        <w:rPr>
          <w:rFonts w:ascii="Arial" w:hAnsi="Arial" w:cs="Arial"/>
        </w:rPr>
        <w:t xml:space="preserve"> </w:t>
      </w:r>
      <w:bookmarkEnd w:id="0"/>
    </w:p>
    <w:sectPr w:rsidR="00330475" w:rsidRPr="009510E3" w:rsidSect="008D0B50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416" w:bottom="426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14:paraId="7D7A0689" w14:textId="77777777"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14:paraId="21C7CD01" w14:textId="77777777"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Default="009510E3">
    <w:pPr>
      <w:pStyle w:val="Cabealho"/>
    </w:pPr>
    <w:r>
      <w:rPr>
        <w:noProof/>
      </w:rPr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9510E3">
      <w:rPr>
        <w:noProof/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Default="009510E3">
    <w:pPr>
      <w:pStyle w:val="Cabealho"/>
    </w:pPr>
    <w:r>
      <w:rPr>
        <w:noProof/>
      </w:rPr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29534C"/>
    <w:rsid w:val="002B1AEE"/>
    <w:rsid w:val="00330475"/>
    <w:rsid w:val="003F6D65"/>
    <w:rsid w:val="00441214"/>
    <w:rsid w:val="004716A4"/>
    <w:rsid w:val="004B4FFC"/>
    <w:rsid w:val="004C0962"/>
    <w:rsid w:val="004E4260"/>
    <w:rsid w:val="004E79D2"/>
    <w:rsid w:val="00507688"/>
    <w:rsid w:val="00545113"/>
    <w:rsid w:val="0057268E"/>
    <w:rsid w:val="00572B3B"/>
    <w:rsid w:val="005B1CFB"/>
    <w:rsid w:val="005E5F49"/>
    <w:rsid w:val="005F3F22"/>
    <w:rsid w:val="0067285F"/>
    <w:rsid w:val="006B11D8"/>
    <w:rsid w:val="0076343C"/>
    <w:rsid w:val="007E24A2"/>
    <w:rsid w:val="007E76D8"/>
    <w:rsid w:val="008766CE"/>
    <w:rsid w:val="0089589A"/>
    <w:rsid w:val="008D0B50"/>
    <w:rsid w:val="008F28B9"/>
    <w:rsid w:val="00904BB9"/>
    <w:rsid w:val="009510E3"/>
    <w:rsid w:val="00954710"/>
    <w:rsid w:val="00982FF5"/>
    <w:rsid w:val="009832CF"/>
    <w:rsid w:val="009B7211"/>
    <w:rsid w:val="009D2F22"/>
    <w:rsid w:val="00A010B0"/>
    <w:rsid w:val="00A02893"/>
    <w:rsid w:val="00A25EEA"/>
    <w:rsid w:val="00A72010"/>
    <w:rsid w:val="00A77661"/>
    <w:rsid w:val="00AA6AC1"/>
    <w:rsid w:val="00AC2144"/>
    <w:rsid w:val="00AD7B05"/>
    <w:rsid w:val="00AE3618"/>
    <w:rsid w:val="00AE38A1"/>
    <w:rsid w:val="00B132A1"/>
    <w:rsid w:val="00B35FE0"/>
    <w:rsid w:val="00B41B2B"/>
    <w:rsid w:val="00BE4177"/>
    <w:rsid w:val="00BF77EC"/>
    <w:rsid w:val="00C04A52"/>
    <w:rsid w:val="00C6427D"/>
    <w:rsid w:val="00C72B68"/>
    <w:rsid w:val="00CC78C7"/>
    <w:rsid w:val="00CE5B13"/>
    <w:rsid w:val="00D16E8F"/>
    <w:rsid w:val="00D25F84"/>
    <w:rsid w:val="00D834D3"/>
    <w:rsid w:val="00DA3E9B"/>
    <w:rsid w:val="00E12E13"/>
    <w:rsid w:val="00E3768E"/>
    <w:rsid w:val="00EB508A"/>
    <w:rsid w:val="00EC567C"/>
    <w:rsid w:val="00ED1652"/>
    <w:rsid w:val="00F22050"/>
    <w:rsid w:val="00F40679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  <w:style w:type="paragraph" w:styleId="NormalWeb">
    <w:name w:val="Normal (Web)"/>
    <w:basedOn w:val="Normal"/>
    <w:uiPriority w:val="99"/>
    <w:semiHidden/>
    <w:unhideWhenUsed/>
    <w:rsid w:val="00A7201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983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6</cp:revision>
  <cp:lastPrinted>2025-09-26T13:51:00Z</cp:lastPrinted>
  <dcterms:created xsi:type="dcterms:W3CDTF">2025-09-26T13:52:00Z</dcterms:created>
  <dcterms:modified xsi:type="dcterms:W3CDTF">2025-10-24T12:50:00Z</dcterms:modified>
</cp:coreProperties>
</file>